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500DF3" w14:textId="58FFCC6C" w:rsidR="00D7283B" w:rsidRPr="0090329E" w:rsidRDefault="00F6512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>Interpretation of results</w:t>
      </w:r>
    </w:p>
    <w:p w14:paraId="685237F4" w14:textId="48A620D7" w:rsidR="00F65126" w:rsidRPr="0090329E" w:rsidRDefault="00F6512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>5. from the data, an increase in the assignment performance percentage was associated with the rate of class attendance and the final performance percentage.</w:t>
      </w:r>
      <w:r w:rsidR="0032420F" w:rsidRPr="0090329E">
        <w:rPr>
          <w:rFonts w:ascii="Times New Roman" w:hAnsi="Times New Roman" w:cs="Times New Roman"/>
          <w:sz w:val="24"/>
          <w:szCs w:val="24"/>
        </w:rPr>
        <w:t xml:space="preserve"> An increase in class attendance played a major role in determining the assignment and final percentage scores. </w:t>
      </w:r>
      <w:r w:rsidR="00075AB9" w:rsidRPr="0090329E">
        <w:rPr>
          <w:rFonts w:ascii="Times New Roman" w:hAnsi="Times New Roman" w:cs="Times New Roman"/>
          <w:sz w:val="24"/>
          <w:szCs w:val="24"/>
        </w:rPr>
        <w:t xml:space="preserve">Students with high attendance rates had high performances. Hypothesis H0 cannot be rejected because there was a consistency between </w:t>
      </w:r>
      <w:r w:rsidR="00016FE9" w:rsidRPr="0090329E">
        <w:rPr>
          <w:rFonts w:ascii="Times New Roman" w:hAnsi="Times New Roman" w:cs="Times New Roman"/>
          <w:sz w:val="24"/>
          <w:szCs w:val="24"/>
        </w:rPr>
        <w:t xml:space="preserve">attendance rate, assignment scorers, and final grade. </w:t>
      </w:r>
    </w:p>
    <w:p w14:paraId="2846AD73" w14:textId="12F22D62" w:rsidR="001974D8" w:rsidRPr="0090329E" w:rsidRDefault="001974D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7B5517D" wp14:editId="0B09C7A1">
            <wp:extent cx="4584700" cy="2755900"/>
            <wp:effectExtent l="0" t="0" r="635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755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FC3BA20" w14:textId="154DD54F" w:rsidR="001974D8" w:rsidRPr="0090329E" w:rsidRDefault="001974D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FEDF20D" wp14:editId="2802FA6C">
            <wp:extent cx="4584700" cy="2993390"/>
            <wp:effectExtent l="0" t="0" r="635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4700" cy="2993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460C396" w14:textId="2330B409" w:rsidR="00016FE9" w:rsidRPr="0090329E" w:rsidRDefault="00016FE9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6. by using multiple regression, it was identified that there was a linear relationship between attendance and assignment performance. </w:t>
      </w:r>
      <w:r w:rsidR="006C0633" w:rsidRPr="0090329E">
        <w:rPr>
          <w:rFonts w:ascii="Times New Roman" w:hAnsi="Times New Roman" w:cs="Times New Roman"/>
          <w:sz w:val="24"/>
          <w:szCs w:val="24"/>
        </w:rPr>
        <w:t xml:space="preserve">A combination of higher attendance and better assignment performance lead to the achievement of higher final performance percentage. </w:t>
      </w:r>
    </w:p>
    <w:p w14:paraId="1E778979" w14:textId="31B1BC36" w:rsidR="005132A8" w:rsidRPr="0090329E" w:rsidRDefault="005132A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0640A51" wp14:editId="5E020AA4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0A8E3B5D" w14:textId="16395417" w:rsidR="001974D8" w:rsidRPr="0090329E" w:rsidRDefault="001974D8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lastRenderedPageBreak/>
        <w:t xml:space="preserve">Other data that would be useful for this research would be previous performances, demographic factors like social and economic factors. </w:t>
      </w:r>
      <w:r w:rsidR="00B85353" w:rsidRPr="0090329E">
        <w:rPr>
          <w:rFonts w:ascii="Times New Roman" w:hAnsi="Times New Roman" w:cs="Times New Roman"/>
          <w:sz w:val="24"/>
          <w:szCs w:val="24"/>
        </w:rPr>
        <w:t xml:space="preserve">These variables would help understand how the performances of students were affected by external factors apart from tutorial attendance and assignment performance. </w:t>
      </w:r>
      <w:r w:rsidR="00AF5EF6" w:rsidRPr="0090329E">
        <w:rPr>
          <w:rFonts w:ascii="Times New Roman" w:hAnsi="Times New Roman" w:cs="Times New Roman"/>
          <w:sz w:val="24"/>
          <w:szCs w:val="24"/>
        </w:rPr>
        <w:t xml:space="preserve">These variables would also be helpful to ensure that the results are not biased. </w:t>
      </w:r>
    </w:p>
    <w:p w14:paraId="0A49B162" w14:textId="40F5FD8B" w:rsidR="00AF5EF6" w:rsidRPr="0090329E" w:rsidRDefault="00AF5EF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7. Mean assignment grade = 70.909. </w:t>
      </w:r>
    </w:p>
    <w:p w14:paraId="380C99BC" w14:textId="42A0FC39" w:rsidR="00AF5EF6" w:rsidRPr="0090329E" w:rsidRDefault="00AF5EF6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The final exam percentage for students with tutorial attendance of </w:t>
      </w:r>
    </w:p>
    <w:p w14:paraId="34F8E0BD" w14:textId="1A3A8B77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2 = </w:t>
      </w:r>
      <w:r w:rsidR="00C625BC" w:rsidRPr="0090329E">
        <w:rPr>
          <w:rFonts w:ascii="Times New Roman" w:hAnsi="Times New Roman" w:cs="Times New Roman"/>
          <w:sz w:val="24"/>
          <w:szCs w:val="24"/>
        </w:rPr>
        <w:t>25</w:t>
      </w:r>
    </w:p>
    <w:p w14:paraId="798AF1B5" w14:textId="382631FF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3 = </w:t>
      </w:r>
      <w:r w:rsidR="00C625BC" w:rsidRPr="0090329E">
        <w:rPr>
          <w:rFonts w:ascii="Times New Roman" w:hAnsi="Times New Roman" w:cs="Times New Roman"/>
          <w:sz w:val="24"/>
          <w:szCs w:val="24"/>
        </w:rPr>
        <w:t>35</w:t>
      </w:r>
    </w:p>
    <w:p w14:paraId="02357D90" w14:textId="1B0AE8FD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4 = </w:t>
      </w:r>
      <w:r w:rsidR="00C625BC" w:rsidRPr="0090329E">
        <w:rPr>
          <w:rFonts w:ascii="Times New Roman" w:hAnsi="Times New Roman" w:cs="Times New Roman"/>
          <w:sz w:val="24"/>
          <w:szCs w:val="24"/>
        </w:rPr>
        <w:t>55</w:t>
      </w:r>
    </w:p>
    <w:p w14:paraId="75933A6E" w14:textId="615FB03B" w:rsidR="00AF5EF6" w:rsidRPr="0090329E" w:rsidRDefault="00AF5EF6" w:rsidP="0090329E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5 = </w:t>
      </w:r>
      <w:r w:rsidR="00C625BC" w:rsidRPr="0090329E">
        <w:rPr>
          <w:rFonts w:ascii="Times New Roman" w:hAnsi="Times New Roman" w:cs="Times New Roman"/>
          <w:sz w:val="24"/>
          <w:szCs w:val="24"/>
        </w:rPr>
        <w:t>85</w:t>
      </w:r>
    </w:p>
    <w:p w14:paraId="2EF8A180" w14:textId="13ACEE06" w:rsidR="00C625BC" w:rsidRPr="0090329E" w:rsidRDefault="00C625BC" w:rsidP="0090329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0329E">
        <w:rPr>
          <w:rFonts w:ascii="Times New Roman" w:hAnsi="Times New Roman" w:cs="Times New Roman"/>
          <w:sz w:val="24"/>
          <w:szCs w:val="24"/>
        </w:rPr>
        <w:t xml:space="preserve">These predictions </w:t>
      </w:r>
      <w:r w:rsidR="00600378" w:rsidRPr="0090329E">
        <w:rPr>
          <w:rFonts w:ascii="Times New Roman" w:hAnsi="Times New Roman" w:cs="Times New Roman"/>
          <w:sz w:val="24"/>
          <w:szCs w:val="24"/>
        </w:rPr>
        <w:t>are based</w:t>
      </w:r>
      <w:r w:rsidRPr="0090329E">
        <w:rPr>
          <w:rFonts w:ascii="Times New Roman" w:hAnsi="Times New Roman" w:cs="Times New Roman"/>
          <w:sz w:val="24"/>
          <w:szCs w:val="24"/>
        </w:rPr>
        <w:t xml:space="preserve"> on the hypothesis that an increase in tutorial attendance leads to a relative increase in the final performance. </w:t>
      </w:r>
      <w:r w:rsidR="00F764B9" w:rsidRPr="0090329E">
        <w:rPr>
          <w:rFonts w:ascii="Times New Roman" w:hAnsi="Times New Roman" w:cs="Times New Roman"/>
          <w:sz w:val="24"/>
          <w:szCs w:val="24"/>
        </w:rPr>
        <w:t xml:space="preserve">A student </w:t>
      </w:r>
      <w:r w:rsidR="0058625A" w:rsidRPr="0090329E">
        <w:rPr>
          <w:rFonts w:ascii="Times New Roman" w:hAnsi="Times New Roman" w:cs="Times New Roman"/>
          <w:sz w:val="24"/>
          <w:szCs w:val="24"/>
        </w:rPr>
        <w:t xml:space="preserve">with two tutorial attendances will have a final score of 25%, 35% for three attendances, 55% for 4 attendances, and 85% for five attendances. </w:t>
      </w:r>
    </w:p>
    <w:sectPr w:rsidR="00C625BC" w:rsidRPr="009032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982E94"/>
    <w:multiLevelType w:val="hybridMultilevel"/>
    <w:tmpl w:val="866C81FE"/>
    <w:lvl w:ilvl="0" w:tplc="F6E43494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AA3758"/>
    <w:multiLevelType w:val="hybridMultilevel"/>
    <w:tmpl w:val="94CCB93E"/>
    <w:lvl w:ilvl="0" w:tplc="B35A03A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FE2560F"/>
    <w:multiLevelType w:val="hybridMultilevel"/>
    <w:tmpl w:val="295C2B0C"/>
    <w:lvl w:ilvl="0" w:tplc="EA289816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126"/>
    <w:rsid w:val="00016FE9"/>
    <w:rsid w:val="00075AB9"/>
    <w:rsid w:val="001934D2"/>
    <w:rsid w:val="001974D8"/>
    <w:rsid w:val="0032420F"/>
    <w:rsid w:val="00510816"/>
    <w:rsid w:val="005132A8"/>
    <w:rsid w:val="0058625A"/>
    <w:rsid w:val="00600378"/>
    <w:rsid w:val="006C0633"/>
    <w:rsid w:val="0078185D"/>
    <w:rsid w:val="0090329E"/>
    <w:rsid w:val="00AF5EF6"/>
    <w:rsid w:val="00B85353"/>
    <w:rsid w:val="00C625BC"/>
    <w:rsid w:val="00D7283B"/>
    <w:rsid w:val="00F65126"/>
    <w:rsid w:val="00F7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216FCF"/>
  <w15:chartTrackingRefBased/>
  <w15:docId w15:val="{BFDD506C-1226-41D5-983D-F24CCB6C7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5EF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Multiple regression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final exam 2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Sheet1!$A$2:$A$56</c:f>
              <c:numCache>
                <c:formatCode>General</c:formatCode>
                <c:ptCount val="55"/>
                <c:pt idx="0">
                  <c:v>90</c:v>
                </c:pt>
                <c:pt idx="1">
                  <c:v>75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95</c:v>
                </c:pt>
                <c:pt idx="6">
                  <c:v>80</c:v>
                </c:pt>
                <c:pt idx="7">
                  <c:v>95</c:v>
                </c:pt>
                <c:pt idx="8">
                  <c:v>80</c:v>
                </c:pt>
                <c:pt idx="9">
                  <c:v>95</c:v>
                </c:pt>
                <c:pt idx="10">
                  <c:v>25</c:v>
                </c:pt>
                <c:pt idx="11">
                  <c:v>80</c:v>
                </c:pt>
                <c:pt idx="12">
                  <c:v>90</c:v>
                </c:pt>
                <c:pt idx="13">
                  <c:v>65</c:v>
                </c:pt>
                <c:pt idx="14">
                  <c:v>65</c:v>
                </c:pt>
                <c:pt idx="15">
                  <c:v>0</c:v>
                </c:pt>
                <c:pt idx="16">
                  <c:v>70</c:v>
                </c:pt>
                <c:pt idx="17">
                  <c:v>55</c:v>
                </c:pt>
                <c:pt idx="18">
                  <c:v>85</c:v>
                </c:pt>
                <c:pt idx="19">
                  <c:v>90</c:v>
                </c:pt>
                <c:pt idx="20">
                  <c:v>5</c:v>
                </c:pt>
                <c:pt idx="21">
                  <c:v>80</c:v>
                </c:pt>
                <c:pt idx="22">
                  <c:v>50</c:v>
                </c:pt>
                <c:pt idx="23">
                  <c:v>45</c:v>
                </c:pt>
                <c:pt idx="24">
                  <c:v>75</c:v>
                </c:pt>
                <c:pt idx="25">
                  <c:v>70</c:v>
                </c:pt>
                <c:pt idx="26">
                  <c:v>100</c:v>
                </c:pt>
                <c:pt idx="27">
                  <c:v>75</c:v>
                </c:pt>
                <c:pt idx="28">
                  <c:v>100</c:v>
                </c:pt>
                <c:pt idx="29">
                  <c:v>85</c:v>
                </c:pt>
                <c:pt idx="30">
                  <c:v>95</c:v>
                </c:pt>
                <c:pt idx="31">
                  <c:v>45</c:v>
                </c:pt>
                <c:pt idx="32">
                  <c:v>100</c:v>
                </c:pt>
                <c:pt idx="33">
                  <c:v>90</c:v>
                </c:pt>
                <c:pt idx="34">
                  <c:v>100</c:v>
                </c:pt>
                <c:pt idx="35">
                  <c:v>65</c:v>
                </c:pt>
                <c:pt idx="36">
                  <c:v>90</c:v>
                </c:pt>
                <c:pt idx="37">
                  <c:v>80</c:v>
                </c:pt>
                <c:pt idx="38">
                  <c:v>50</c:v>
                </c:pt>
                <c:pt idx="39">
                  <c:v>50</c:v>
                </c:pt>
                <c:pt idx="40">
                  <c:v>75</c:v>
                </c:pt>
                <c:pt idx="41">
                  <c:v>75</c:v>
                </c:pt>
                <c:pt idx="42">
                  <c:v>70</c:v>
                </c:pt>
                <c:pt idx="43">
                  <c:v>90</c:v>
                </c:pt>
                <c:pt idx="44">
                  <c:v>95</c:v>
                </c:pt>
                <c:pt idx="45">
                  <c:v>55</c:v>
                </c:pt>
                <c:pt idx="46">
                  <c:v>75</c:v>
                </c:pt>
                <c:pt idx="47">
                  <c:v>20</c:v>
                </c:pt>
                <c:pt idx="48">
                  <c:v>65</c:v>
                </c:pt>
                <c:pt idx="49">
                  <c:v>60</c:v>
                </c:pt>
                <c:pt idx="50">
                  <c:v>60</c:v>
                </c:pt>
                <c:pt idx="51">
                  <c:v>80</c:v>
                </c:pt>
                <c:pt idx="52">
                  <c:v>55</c:v>
                </c:pt>
                <c:pt idx="53">
                  <c:v>80</c:v>
                </c:pt>
                <c:pt idx="54">
                  <c:v>0</c:v>
                </c:pt>
              </c:numCache>
            </c:numRef>
          </c:cat>
          <c:val>
            <c:numRef>
              <c:f>Sheet1!$B$2:$B$56</c:f>
              <c:numCache>
                <c:formatCode>General</c:formatCode>
                <c:ptCount val="55"/>
                <c:pt idx="0">
                  <c:v>100</c:v>
                </c:pt>
                <c:pt idx="1">
                  <c:v>100</c:v>
                </c:pt>
                <c:pt idx="2">
                  <c:v>90</c:v>
                </c:pt>
                <c:pt idx="3">
                  <c:v>85</c:v>
                </c:pt>
                <c:pt idx="4">
                  <c:v>85</c:v>
                </c:pt>
                <c:pt idx="5">
                  <c:v>80</c:v>
                </c:pt>
                <c:pt idx="6">
                  <c:v>70</c:v>
                </c:pt>
                <c:pt idx="7">
                  <c:v>60</c:v>
                </c:pt>
                <c:pt idx="8">
                  <c:v>60</c:v>
                </c:pt>
                <c:pt idx="9">
                  <c:v>55</c:v>
                </c:pt>
                <c:pt idx="10">
                  <c:v>55</c:v>
                </c:pt>
                <c:pt idx="11">
                  <c:v>50</c:v>
                </c:pt>
                <c:pt idx="12">
                  <c:v>45</c:v>
                </c:pt>
                <c:pt idx="13">
                  <c:v>40</c:v>
                </c:pt>
                <c:pt idx="14">
                  <c:v>40</c:v>
                </c:pt>
                <c:pt idx="15">
                  <c:v>35</c:v>
                </c:pt>
                <c:pt idx="16">
                  <c:v>30</c:v>
                </c:pt>
                <c:pt idx="17">
                  <c:v>30</c:v>
                </c:pt>
                <c:pt idx="18">
                  <c:v>25</c:v>
                </c:pt>
                <c:pt idx="19">
                  <c:v>25</c:v>
                </c:pt>
                <c:pt idx="20">
                  <c:v>15</c:v>
                </c:pt>
                <c:pt idx="21">
                  <c:v>15</c:v>
                </c:pt>
                <c:pt idx="22">
                  <c:v>15</c:v>
                </c:pt>
                <c:pt idx="23">
                  <c:v>15</c:v>
                </c:pt>
                <c:pt idx="24">
                  <c:v>5</c:v>
                </c:pt>
                <c:pt idx="25">
                  <c:v>5</c:v>
                </c:pt>
                <c:pt idx="26">
                  <c:v>100</c:v>
                </c:pt>
                <c:pt idx="27">
                  <c:v>95</c:v>
                </c:pt>
                <c:pt idx="28">
                  <c:v>90</c:v>
                </c:pt>
                <c:pt idx="29">
                  <c:v>85</c:v>
                </c:pt>
                <c:pt idx="30">
                  <c:v>80</c:v>
                </c:pt>
                <c:pt idx="31">
                  <c:v>70</c:v>
                </c:pt>
                <c:pt idx="32">
                  <c:v>70</c:v>
                </c:pt>
                <c:pt idx="33">
                  <c:v>65</c:v>
                </c:pt>
                <c:pt idx="34">
                  <c:v>60</c:v>
                </c:pt>
                <c:pt idx="35">
                  <c:v>55</c:v>
                </c:pt>
                <c:pt idx="36">
                  <c:v>55</c:v>
                </c:pt>
                <c:pt idx="37">
                  <c:v>55</c:v>
                </c:pt>
                <c:pt idx="38">
                  <c:v>50</c:v>
                </c:pt>
                <c:pt idx="39">
                  <c:v>45</c:v>
                </c:pt>
                <c:pt idx="40">
                  <c:v>45</c:v>
                </c:pt>
                <c:pt idx="41">
                  <c:v>40</c:v>
                </c:pt>
                <c:pt idx="42">
                  <c:v>40</c:v>
                </c:pt>
                <c:pt idx="43">
                  <c:v>35</c:v>
                </c:pt>
                <c:pt idx="44">
                  <c:v>30</c:v>
                </c:pt>
                <c:pt idx="45">
                  <c:v>30</c:v>
                </c:pt>
                <c:pt idx="46">
                  <c:v>25</c:v>
                </c:pt>
                <c:pt idx="47">
                  <c:v>25</c:v>
                </c:pt>
                <c:pt idx="48">
                  <c:v>25</c:v>
                </c:pt>
                <c:pt idx="49">
                  <c:v>15</c:v>
                </c:pt>
                <c:pt idx="50">
                  <c:v>15</c:v>
                </c:pt>
                <c:pt idx="51">
                  <c:v>15</c:v>
                </c:pt>
                <c:pt idx="52">
                  <c:v>10</c:v>
                </c:pt>
                <c:pt idx="53">
                  <c:v>10</c:v>
                </c:pt>
                <c:pt idx="54">
                  <c:v>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6330-496B-81E0-C22F975BECAA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attendance 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Sheet1!$A$2:$A$56</c:f>
              <c:numCache>
                <c:formatCode>General</c:formatCode>
                <c:ptCount val="55"/>
                <c:pt idx="0">
                  <c:v>90</c:v>
                </c:pt>
                <c:pt idx="1">
                  <c:v>75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95</c:v>
                </c:pt>
                <c:pt idx="6">
                  <c:v>80</c:v>
                </c:pt>
                <c:pt idx="7">
                  <c:v>95</c:v>
                </c:pt>
                <c:pt idx="8">
                  <c:v>80</c:v>
                </c:pt>
                <c:pt idx="9">
                  <c:v>95</c:v>
                </c:pt>
                <c:pt idx="10">
                  <c:v>25</c:v>
                </c:pt>
                <c:pt idx="11">
                  <c:v>80</c:v>
                </c:pt>
                <c:pt idx="12">
                  <c:v>90</c:v>
                </c:pt>
                <c:pt idx="13">
                  <c:v>65</c:v>
                </c:pt>
                <c:pt idx="14">
                  <c:v>65</c:v>
                </c:pt>
                <c:pt idx="15">
                  <c:v>0</c:v>
                </c:pt>
                <c:pt idx="16">
                  <c:v>70</c:v>
                </c:pt>
                <c:pt idx="17">
                  <c:v>55</c:v>
                </c:pt>
                <c:pt idx="18">
                  <c:v>85</c:v>
                </c:pt>
                <c:pt idx="19">
                  <c:v>90</c:v>
                </c:pt>
                <c:pt idx="20">
                  <c:v>5</c:v>
                </c:pt>
                <c:pt idx="21">
                  <c:v>80</c:v>
                </c:pt>
                <c:pt idx="22">
                  <c:v>50</c:v>
                </c:pt>
                <c:pt idx="23">
                  <c:v>45</c:v>
                </c:pt>
                <c:pt idx="24">
                  <c:v>75</c:v>
                </c:pt>
                <c:pt idx="25">
                  <c:v>70</c:v>
                </c:pt>
                <c:pt idx="26">
                  <c:v>100</c:v>
                </c:pt>
                <c:pt idx="27">
                  <c:v>75</c:v>
                </c:pt>
                <c:pt idx="28">
                  <c:v>100</c:v>
                </c:pt>
                <c:pt idx="29">
                  <c:v>85</c:v>
                </c:pt>
                <c:pt idx="30">
                  <c:v>95</c:v>
                </c:pt>
                <c:pt idx="31">
                  <c:v>45</c:v>
                </c:pt>
                <c:pt idx="32">
                  <c:v>100</c:v>
                </c:pt>
                <c:pt idx="33">
                  <c:v>90</c:v>
                </c:pt>
                <c:pt idx="34">
                  <c:v>100</c:v>
                </c:pt>
                <c:pt idx="35">
                  <c:v>65</c:v>
                </c:pt>
                <c:pt idx="36">
                  <c:v>90</c:v>
                </c:pt>
                <c:pt idx="37">
                  <c:v>80</c:v>
                </c:pt>
                <c:pt idx="38">
                  <c:v>50</c:v>
                </c:pt>
                <c:pt idx="39">
                  <c:v>50</c:v>
                </c:pt>
                <c:pt idx="40">
                  <c:v>75</c:v>
                </c:pt>
                <c:pt idx="41">
                  <c:v>75</c:v>
                </c:pt>
                <c:pt idx="42">
                  <c:v>70</c:v>
                </c:pt>
                <c:pt idx="43">
                  <c:v>90</c:v>
                </c:pt>
                <c:pt idx="44">
                  <c:v>95</c:v>
                </c:pt>
                <c:pt idx="45">
                  <c:v>55</c:v>
                </c:pt>
                <c:pt idx="46">
                  <c:v>75</c:v>
                </c:pt>
                <c:pt idx="47">
                  <c:v>20</c:v>
                </c:pt>
                <c:pt idx="48">
                  <c:v>65</c:v>
                </c:pt>
                <c:pt idx="49">
                  <c:v>60</c:v>
                </c:pt>
                <c:pt idx="50">
                  <c:v>60</c:v>
                </c:pt>
                <c:pt idx="51">
                  <c:v>80</c:v>
                </c:pt>
                <c:pt idx="52">
                  <c:v>55</c:v>
                </c:pt>
                <c:pt idx="53">
                  <c:v>80</c:v>
                </c:pt>
                <c:pt idx="54">
                  <c:v>0</c:v>
                </c:pt>
              </c:numCache>
            </c:numRef>
          </c:cat>
          <c:val>
            <c:numRef>
              <c:f>Sheet1!$C$2:$C$56</c:f>
              <c:numCache>
                <c:formatCode>General</c:formatCode>
                <c:ptCount val="55"/>
                <c:pt idx="0">
                  <c:v>5</c:v>
                </c:pt>
                <c:pt idx="1">
                  <c:v>5</c:v>
                </c:pt>
                <c:pt idx="2">
                  <c:v>5</c:v>
                </c:pt>
                <c:pt idx="3">
                  <c:v>5</c:v>
                </c:pt>
                <c:pt idx="4">
                  <c:v>5</c:v>
                </c:pt>
                <c:pt idx="5">
                  <c:v>5</c:v>
                </c:pt>
                <c:pt idx="6">
                  <c:v>5</c:v>
                </c:pt>
                <c:pt idx="7">
                  <c:v>5</c:v>
                </c:pt>
                <c:pt idx="8">
                  <c:v>5</c:v>
                </c:pt>
                <c:pt idx="9">
                  <c:v>5</c:v>
                </c:pt>
                <c:pt idx="10">
                  <c:v>4</c:v>
                </c:pt>
                <c:pt idx="11">
                  <c:v>5</c:v>
                </c:pt>
                <c:pt idx="12">
                  <c:v>5</c:v>
                </c:pt>
                <c:pt idx="13">
                  <c:v>5</c:v>
                </c:pt>
                <c:pt idx="14">
                  <c:v>4</c:v>
                </c:pt>
                <c:pt idx="15">
                  <c:v>3</c:v>
                </c:pt>
                <c:pt idx="16">
                  <c:v>4</c:v>
                </c:pt>
                <c:pt idx="17">
                  <c:v>4</c:v>
                </c:pt>
                <c:pt idx="18">
                  <c:v>5</c:v>
                </c:pt>
                <c:pt idx="19">
                  <c:v>4</c:v>
                </c:pt>
                <c:pt idx="20">
                  <c:v>3</c:v>
                </c:pt>
                <c:pt idx="21">
                  <c:v>5</c:v>
                </c:pt>
                <c:pt idx="22">
                  <c:v>5</c:v>
                </c:pt>
                <c:pt idx="23">
                  <c:v>3</c:v>
                </c:pt>
                <c:pt idx="24">
                  <c:v>3</c:v>
                </c:pt>
                <c:pt idx="25">
                  <c:v>4</c:v>
                </c:pt>
                <c:pt idx="26">
                  <c:v>5</c:v>
                </c:pt>
                <c:pt idx="27">
                  <c:v>5</c:v>
                </c:pt>
                <c:pt idx="28">
                  <c:v>5</c:v>
                </c:pt>
                <c:pt idx="29">
                  <c:v>5</c:v>
                </c:pt>
                <c:pt idx="30">
                  <c:v>5</c:v>
                </c:pt>
                <c:pt idx="31">
                  <c:v>5</c:v>
                </c:pt>
                <c:pt idx="32">
                  <c:v>5</c:v>
                </c:pt>
                <c:pt idx="33">
                  <c:v>5</c:v>
                </c:pt>
                <c:pt idx="34">
                  <c:v>5</c:v>
                </c:pt>
                <c:pt idx="35">
                  <c:v>4</c:v>
                </c:pt>
                <c:pt idx="36">
                  <c:v>5</c:v>
                </c:pt>
                <c:pt idx="37">
                  <c:v>4</c:v>
                </c:pt>
                <c:pt idx="38">
                  <c:v>5</c:v>
                </c:pt>
                <c:pt idx="39">
                  <c:v>4</c:v>
                </c:pt>
                <c:pt idx="40">
                  <c:v>3</c:v>
                </c:pt>
                <c:pt idx="41">
                  <c:v>5</c:v>
                </c:pt>
                <c:pt idx="42">
                  <c:v>5</c:v>
                </c:pt>
                <c:pt idx="43">
                  <c:v>4</c:v>
                </c:pt>
                <c:pt idx="44">
                  <c:v>5</c:v>
                </c:pt>
                <c:pt idx="45">
                  <c:v>5</c:v>
                </c:pt>
                <c:pt idx="46">
                  <c:v>4</c:v>
                </c:pt>
                <c:pt idx="47">
                  <c:v>3</c:v>
                </c:pt>
                <c:pt idx="48">
                  <c:v>2</c:v>
                </c:pt>
                <c:pt idx="49">
                  <c:v>4</c:v>
                </c:pt>
                <c:pt idx="50">
                  <c:v>4</c:v>
                </c:pt>
                <c:pt idx="51">
                  <c:v>5</c:v>
                </c:pt>
                <c:pt idx="52">
                  <c:v>4</c:v>
                </c:pt>
                <c:pt idx="53">
                  <c:v>2</c:v>
                </c:pt>
                <c:pt idx="54">
                  <c:v>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6330-496B-81E0-C22F975BECAA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Column1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numRef>
              <c:f>Sheet1!$A$2:$A$56</c:f>
              <c:numCache>
                <c:formatCode>General</c:formatCode>
                <c:ptCount val="55"/>
                <c:pt idx="0">
                  <c:v>90</c:v>
                </c:pt>
                <c:pt idx="1">
                  <c:v>75</c:v>
                </c:pt>
                <c:pt idx="2">
                  <c:v>75</c:v>
                </c:pt>
                <c:pt idx="3">
                  <c:v>85</c:v>
                </c:pt>
                <c:pt idx="4">
                  <c:v>100</c:v>
                </c:pt>
                <c:pt idx="5">
                  <c:v>95</c:v>
                </c:pt>
                <c:pt idx="6">
                  <c:v>80</c:v>
                </c:pt>
                <c:pt idx="7">
                  <c:v>95</c:v>
                </c:pt>
                <c:pt idx="8">
                  <c:v>80</c:v>
                </c:pt>
                <c:pt idx="9">
                  <c:v>95</c:v>
                </c:pt>
                <c:pt idx="10">
                  <c:v>25</c:v>
                </c:pt>
                <c:pt idx="11">
                  <c:v>80</c:v>
                </c:pt>
                <c:pt idx="12">
                  <c:v>90</c:v>
                </c:pt>
                <c:pt idx="13">
                  <c:v>65</c:v>
                </c:pt>
                <c:pt idx="14">
                  <c:v>65</c:v>
                </c:pt>
                <c:pt idx="15">
                  <c:v>0</c:v>
                </c:pt>
                <c:pt idx="16">
                  <c:v>70</c:v>
                </c:pt>
                <c:pt idx="17">
                  <c:v>55</c:v>
                </c:pt>
                <c:pt idx="18">
                  <c:v>85</c:v>
                </c:pt>
                <c:pt idx="19">
                  <c:v>90</c:v>
                </c:pt>
                <c:pt idx="20">
                  <c:v>5</c:v>
                </c:pt>
                <c:pt idx="21">
                  <c:v>80</c:v>
                </c:pt>
                <c:pt idx="22">
                  <c:v>50</c:v>
                </c:pt>
                <c:pt idx="23">
                  <c:v>45</c:v>
                </c:pt>
                <c:pt idx="24">
                  <c:v>75</c:v>
                </c:pt>
                <c:pt idx="25">
                  <c:v>70</c:v>
                </c:pt>
                <c:pt idx="26">
                  <c:v>100</c:v>
                </c:pt>
                <c:pt idx="27">
                  <c:v>75</c:v>
                </c:pt>
                <c:pt idx="28">
                  <c:v>100</c:v>
                </c:pt>
                <c:pt idx="29">
                  <c:v>85</c:v>
                </c:pt>
                <c:pt idx="30">
                  <c:v>95</c:v>
                </c:pt>
                <c:pt idx="31">
                  <c:v>45</c:v>
                </c:pt>
                <c:pt idx="32">
                  <c:v>100</c:v>
                </c:pt>
                <c:pt idx="33">
                  <c:v>90</c:v>
                </c:pt>
                <c:pt idx="34">
                  <c:v>100</c:v>
                </c:pt>
                <c:pt idx="35">
                  <c:v>65</c:v>
                </c:pt>
                <c:pt idx="36">
                  <c:v>90</c:v>
                </c:pt>
                <c:pt idx="37">
                  <c:v>80</c:v>
                </c:pt>
                <c:pt idx="38">
                  <c:v>50</c:v>
                </c:pt>
                <c:pt idx="39">
                  <c:v>50</c:v>
                </c:pt>
                <c:pt idx="40">
                  <c:v>75</c:v>
                </c:pt>
                <c:pt idx="41">
                  <c:v>75</c:v>
                </c:pt>
                <c:pt idx="42">
                  <c:v>70</c:v>
                </c:pt>
                <c:pt idx="43">
                  <c:v>90</c:v>
                </c:pt>
                <c:pt idx="44">
                  <c:v>95</c:v>
                </c:pt>
                <c:pt idx="45">
                  <c:v>55</c:v>
                </c:pt>
                <c:pt idx="46">
                  <c:v>75</c:v>
                </c:pt>
                <c:pt idx="47">
                  <c:v>20</c:v>
                </c:pt>
                <c:pt idx="48">
                  <c:v>65</c:v>
                </c:pt>
                <c:pt idx="49">
                  <c:v>60</c:v>
                </c:pt>
                <c:pt idx="50">
                  <c:v>60</c:v>
                </c:pt>
                <c:pt idx="51">
                  <c:v>80</c:v>
                </c:pt>
                <c:pt idx="52">
                  <c:v>55</c:v>
                </c:pt>
                <c:pt idx="53">
                  <c:v>80</c:v>
                </c:pt>
                <c:pt idx="54">
                  <c:v>0</c:v>
                </c:pt>
              </c:numCache>
            </c:numRef>
          </c:cat>
          <c:val>
            <c:numRef>
              <c:f>Sheet1!$D$2:$D$56</c:f>
              <c:numCache>
                <c:formatCode>General</c:formatCode>
                <c:ptCount val="55"/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6330-496B-81E0-C22F975BEC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26273472"/>
        <c:axId val="226273800"/>
      </c:lineChart>
      <c:catAx>
        <c:axId val="22627347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Asignment</a:t>
                </a:r>
                <a:r>
                  <a:rPr lang="en-US" baseline="0"/>
                  <a:t> performance %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6273800"/>
        <c:crosses val="autoZero"/>
        <c:auto val="1"/>
        <c:lblAlgn val="ctr"/>
        <c:lblOffset val="100"/>
        <c:noMultiLvlLbl val="0"/>
      </c:catAx>
      <c:valAx>
        <c:axId val="2262738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Final exam %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26273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lazarus junior</dc:creator>
  <cp:keywords/>
  <dc:description/>
  <cp:lastModifiedBy>lazarus junior</cp:lastModifiedBy>
  <cp:revision>12</cp:revision>
  <dcterms:created xsi:type="dcterms:W3CDTF">2020-05-19T07:49:00Z</dcterms:created>
  <dcterms:modified xsi:type="dcterms:W3CDTF">2020-05-19T08:47:00Z</dcterms:modified>
</cp:coreProperties>
</file>